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8"/>
        <w:ind w:left="142" w:right="0"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820" w:right="140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ПРИЛОЖЕНИЕ № 2</w:t>
      </w:r>
      <w:r>
        <w:rPr>
          <w:sz w:val="28"/>
          <w:szCs w:val="28"/>
          <w:shd w:val="clear" w:color="auto" w:fill="ffffff"/>
        </w:rPr>
      </w:r>
    </w:p>
    <w:p>
      <w:pPr>
        <w:ind w:left="4820" w:right="1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 </w:t>
      </w:r>
      <w:r>
        <w:rPr>
          <w:sz w:val="28"/>
          <w:szCs w:val="28"/>
        </w:rPr>
        <w:t xml:space="preserve">Порядку проведения оценки рисков государственных учреждений Новосибирской области, подведомственных департаменту имущества и земельных отношений Новосибирской области</w:t>
      </w:r>
      <w:r>
        <w:rPr>
          <w:sz w:val="28"/>
          <w:szCs w:val="28"/>
          <w:shd w:val="clear" w:color="auto" w:fill="ffffff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ТАБЛИЦА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оценки критериев риска</w:t>
      </w:r>
      <w:r>
        <w:rPr>
          <w:sz w:val="28"/>
          <w:szCs w:val="28"/>
        </w:rPr>
      </w:r>
    </w:p>
    <w:p>
      <w:pPr>
        <w:ind w:left="-142" w:firstLine="567"/>
        <w:spacing w:after="150"/>
        <w:rPr>
          <w:sz w:val="24"/>
        </w:rPr>
      </w:pPr>
      <w:r>
        <w:rPr>
          <w:sz w:val="24"/>
        </w:rPr>
      </w:r>
      <w:r>
        <w:rPr>
          <w:sz w:val="24"/>
        </w:rPr>
      </w:r>
    </w:p>
    <w:tbl>
      <w:tblPr>
        <w:tblW w:w="0" w:type="auto"/>
        <w:jc w:val="center"/>
        <w:tblInd w:w="221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"/>
        <w:gridCol w:w="4819"/>
        <w:gridCol w:w="1351"/>
        <w:gridCol w:w="2409"/>
        <w:gridCol w:w="961"/>
      </w:tblGrid>
      <w:tr>
        <w:tblPrEx/>
        <w:trPr>
          <w:jc w:val="center"/>
          <w:trHeight w:val="84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9" w:type="dxa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19" w:type="dxa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Наименование критерия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51" w:type="dxa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ед. измерения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Значение показателя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Количество баллов</w:t>
            </w:r>
            <w:r>
              <w:rPr>
                <w:sz w:val="24"/>
                <w:highlight w:val="white"/>
              </w:rPr>
            </w:r>
          </w:p>
        </w:tc>
      </w:tr>
      <w:tr>
        <w:tblPrEx/>
        <w:trPr>
          <w:gridAfter w:val="2"/>
          <w:jc w:val="center"/>
          <w:trHeight w:val="276"/>
        </w:trPr>
        <w:tc>
          <w:tcPr>
            <w:tcBorders>
              <w:top w:val="single" w:color="000000" w:sz="6" w:space="0"/>
              <w:left w:val="single" w:color="000000" w:sz="6" w:space="0"/>
            </w:tcBorders>
            <w:tcW w:w="31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481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Значени</w:t>
            </w:r>
            <w:r>
              <w:rPr>
                <w:sz w:val="24"/>
                <w:szCs w:val="24"/>
                <w:highlight w:val="white"/>
              </w:rPr>
              <w:t xml:space="preserve">я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показателей качества финансового менеджмента </w:t>
            </w:r>
            <w:r>
              <w:rPr>
                <w:sz w:val="24"/>
                <w:szCs w:val="24"/>
                <w:highlight w:val="white"/>
              </w:rPr>
              <w:t xml:space="preserve">государственного казенного учреждения Новосибирской области, подведомственного департаменту имущества и земельных </w:t>
            </w:r>
            <w:r>
              <w:rPr>
                <w:sz w:val="24"/>
                <w:szCs w:val="24"/>
                <w:highlight w:val="white"/>
              </w:rPr>
              <w:t xml:space="preserve">отношений Новосибирской области</w:t>
            </w:r>
            <w:r>
              <w:rPr>
                <w:sz w:val="24"/>
                <w:szCs w:val="24"/>
                <w:highlight w:val="white"/>
              </w:rPr>
              <w:t xml:space="preserve">, </w:t>
            </w:r>
            <w:r>
              <w:rPr>
                <w:sz w:val="24"/>
                <w:szCs w:val="24"/>
                <w:highlight w:val="white"/>
              </w:rPr>
              <w:t xml:space="preserve">определяемые с учетом результатов проведения мониторинга качества финансового менеджмента в порядке, установленном в целях реализации положений статьи 160.2-1 Бюджетного кодекса Российской Федерации 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135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</w:t>
            </w:r>
            <w:r>
              <w:rPr>
                <w:sz w:val="24"/>
                <w:szCs w:val="24"/>
                <w:highlight w:val="white"/>
              </w:rPr>
              <w:t xml:space="preserve">ейтинговая оценка</w:t>
            </w:r>
            <w:r>
              <w:rPr>
                <w:sz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3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351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</w:rPr>
              <w:t xml:space="preserve">от 400 до 500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3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351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</w:rPr>
              <w:t xml:space="preserve">от 300 до 400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3</w:t>
            </w:r>
            <w:r>
              <w:rPr>
                <w:sz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  <w:bottom w:val="single" w:color="000000" w:sz="6" w:space="0"/>
            </w:tcBorders>
            <w:tcW w:w="3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tcW w:w="1351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</w:rPr>
              <w:t xml:space="preserve">от 100 до 300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5</w:t>
            </w:r>
            <w:r>
              <w:rPr>
                <w:sz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</w:tcBorders>
            <w:tcW w:w="31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481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Наличие (отсутствие) в проверяемом периоде </w:t>
            </w:r>
            <w:r>
              <w:rPr>
                <w:sz w:val="24"/>
                <w:szCs w:val="24"/>
                <w:highlight w:val="white"/>
              </w:rPr>
              <w:t xml:space="preserve">значительных изменений в деятельности </w:t>
            </w:r>
            <w:r>
              <w:rPr>
                <w:sz w:val="24"/>
                <w:szCs w:val="24"/>
                <w:highlight w:val="white"/>
              </w:rPr>
              <w:t xml:space="preserve">государственного учреждения Новосибирской области, подведомственного департаменту имущества и земельных отношений Новосибирской области</w:t>
            </w:r>
            <w:r>
              <w:rPr>
                <w:sz w:val="24"/>
                <w:szCs w:val="24"/>
                <w:highlight w:val="white"/>
              </w:rPr>
              <w:t xml:space="preserve"> (далее – учреждение)</w:t>
            </w:r>
            <w:r>
              <w:rPr>
                <w:sz w:val="24"/>
                <w:szCs w:val="24"/>
                <w:highlight w:val="white"/>
              </w:rPr>
              <w:t xml:space="preserve">, в том числе в организационной структуре (изменение типа учреждения, реорганизация юридического лица (слияние, присоединение, разделение, выделение, преобразование), создание (ликвидация) обособленных струк</w:t>
            </w:r>
            <w:r>
              <w:rPr>
                <w:sz w:val="24"/>
                <w:szCs w:val="24"/>
                <w:highlight w:val="white"/>
              </w:rPr>
              <w:t xml:space="preserve">турных подразделений, изменение состава видов деятельности (полномочий), в том числе закрепление новых видов оказываемых услуг и выполняемых работ)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135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</w:t>
            </w:r>
            <w:r>
              <w:rPr>
                <w:sz w:val="24"/>
                <w:szCs w:val="24"/>
                <w:highlight w:val="white"/>
              </w:rPr>
              <w:t xml:space="preserve">аличие/</w:t>
            </w:r>
            <w:r>
              <w:rPr>
                <w:sz w:val="24"/>
                <w:highlight w:val="white"/>
              </w:rPr>
            </w:r>
          </w:p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отсутствие</w:t>
            </w:r>
            <w:r>
              <w:rPr>
                <w:sz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</w:rPr>
              <w:t xml:space="preserve">отсутствие изменений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</w:t>
            </w:r>
            <w:r>
              <w:rPr>
                <w:sz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3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351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</w:rPr>
              <w:t xml:space="preserve">наличие изменений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</w:rPr>
              <w:t xml:space="preserve">5</w:t>
            </w:r>
            <w:r>
              <w:rPr>
                <w:sz w:val="24"/>
                <w:highlight w:val="white"/>
              </w:rPr>
            </w:r>
          </w:p>
        </w:tc>
      </w:tr>
      <w:tr>
        <w:tblPrEx/>
        <w:trPr>
          <w:jc w:val="center"/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</w:tcBorders>
            <w:tcW w:w="31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4819" w:type="dxa"/>
            <w:vMerge w:val="restart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Периодичность проведения проверок учреждения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135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лет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</w:rPr>
              <w:t xml:space="preserve">до </w:t>
            </w:r>
            <w:r>
              <w:rPr>
                <w:sz w:val="24"/>
                <w:szCs w:val="24"/>
                <w:highlight w:val="white"/>
              </w:rPr>
              <w:t xml:space="preserve">1года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3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351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</w:rPr>
              <w:t xml:space="preserve">1-2</w:t>
            </w:r>
            <w:r>
              <w:rPr>
                <w:sz w:val="24"/>
              </w:rPr>
              <w:t xml:space="preserve"> года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3</w:t>
            </w:r>
            <w:r>
              <w:rPr>
                <w:sz w:val="24"/>
                <w:highlight w:val="white"/>
              </w:rPr>
            </w:r>
          </w:p>
        </w:tc>
      </w:tr>
      <w:tr>
        <w:tblPrEx/>
        <w:trPr>
          <w:jc w:val="center"/>
          <w:trHeight w:val="246"/>
        </w:trPr>
        <w:tc>
          <w:tcPr>
            <w:tcBorders>
              <w:left w:val="single" w:color="000000" w:sz="6" w:space="0"/>
              <w:bottom w:val="single" w:color="000000" w:sz="6" w:space="0"/>
            </w:tcBorders>
            <w:tcW w:w="3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tcW w:w="1351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</w:rPr>
              <w:t xml:space="preserve">2 года и более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5</w:t>
            </w:r>
            <w:r>
              <w:rPr>
                <w:sz w:val="24"/>
                <w:highlight w:val="white"/>
              </w:rPr>
            </w:r>
          </w:p>
        </w:tc>
      </w:tr>
      <w:tr>
        <w:tblPrEx/>
        <w:trPr>
          <w:jc w:val="center"/>
          <w:trHeight w:val="675"/>
        </w:trPr>
        <w:tc>
          <w:tcPr>
            <w:tcBorders>
              <w:top w:val="single" w:color="000000" w:sz="6" w:space="0"/>
              <w:left w:val="single" w:color="000000" w:sz="6" w:space="0"/>
            </w:tcBorders>
            <w:tcW w:w="31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481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Решения о признании деятельности  учреждения удовлетворительной или неудовлетворительной, принятые балансовой комиссией по результатам анализа </w:t>
            </w:r>
            <w:r>
              <w:rPr>
                <w:sz w:val="24"/>
                <w:szCs w:val="24"/>
                <w:highlight w:val="white"/>
              </w:rPr>
              <w:t xml:space="preserve">финансово-хозяйственной деятельности  учреждения за год, предшествующий формированию </w:t>
            </w:r>
            <w:r>
              <w:rPr>
                <w:sz w:val="24"/>
                <w:szCs w:val="24"/>
                <w:highlight w:val="white"/>
              </w:rPr>
              <w:t xml:space="preserve">годового плана проведения плановых проверок деятельности учреждений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135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удовлетворительная/неудовлетворительная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удовлетворительная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3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351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</w:rPr>
              <w:t xml:space="preserve">неудовлетворительная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</w:rPr>
              <w:t xml:space="preserve">5</w:t>
            </w:r>
            <w:r>
              <w:rPr>
                <w:sz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</w:tcBorders>
            <w:tcW w:w="31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4819" w:type="dxa"/>
            <w:vMerge w:val="restart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Объемы финансового обеспечения деятельности учреждения в </w:t>
            </w:r>
            <w:r>
              <w:rPr>
                <w:sz w:val="24"/>
                <w:szCs w:val="24"/>
                <w:highlight w:val="white"/>
              </w:rPr>
              <w:t xml:space="preserve">проверяемы</w:t>
            </w:r>
            <w:r>
              <w:rPr>
                <w:sz w:val="24"/>
                <w:szCs w:val="24"/>
                <w:highlight w:val="white"/>
              </w:rPr>
              <w:t xml:space="preserve">й </w:t>
            </w:r>
            <w:r>
              <w:rPr>
                <w:sz w:val="24"/>
                <w:szCs w:val="24"/>
                <w:highlight w:val="white"/>
              </w:rPr>
              <w:t xml:space="preserve">отчетный период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135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млн.</w:t>
            </w: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  <w:t xml:space="preserve">руб.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</w:rPr>
              <w:t xml:space="preserve">до 50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</w:t>
            </w:r>
            <w:r>
              <w:rPr>
                <w:sz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3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351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</w:rPr>
              <w:t xml:space="preserve">от 50</w:t>
            </w:r>
            <w:r>
              <w:rPr>
                <w:sz w:val="24"/>
                <w:szCs w:val="24"/>
                <w:highlight w:val="white"/>
              </w:rPr>
              <w:t xml:space="preserve"> до 100</w:t>
            </w:r>
            <w:r>
              <w:rPr>
                <w:sz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3</w:t>
            </w:r>
            <w:r>
              <w:rPr>
                <w:sz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  <w:bottom w:val="single" w:color="000000" w:sz="6" w:space="0"/>
            </w:tcBorders>
            <w:tcW w:w="3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tcW w:w="1351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от 10</w:t>
            </w:r>
            <w:r>
              <w:rPr>
                <w:sz w:val="24"/>
                <w:szCs w:val="24"/>
                <w:highlight w:val="white"/>
              </w:rPr>
              <w:t xml:space="preserve">0 и более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1" w:type="dxa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5</w:t>
            </w:r>
            <w:r>
              <w:rPr>
                <w:sz w:val="24"/>
                <w:highlight w:val="white"/>
              </w:rPr>
            </w:r>
          </w:p>
        </w:tc>
      </w:tr>
      <w:tr>
        <w:tblPrEx/>
        <w:trPr/>
        <w:tc>
          <w:tcPr>
            <w:tcBorders>
              <w:left w:val="single" w:color="000000" w:sz="6" w:space="0"/>
              <w:bottom w:val="single" w:color="000000" w:sz="6" w:space="0"/>
            </w:tcBorders>
            <w:tcW w:w="31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6</w:t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tcW w:w="481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Участие учреждения в реализации национальных проектов</w:t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tcW w:w="135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да/нет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none"/>
              </w:rPr>
              <w:t xml:space="preserve">1</w:t>
            </w:r>
            <w:r>
              <w:rPr>
                <w:sz w:val="24"/>
                <w:highlight w:val="white"/>
              </w:rPr>
            </w:r>
            <w:r>
              <w:rPr>
                <w:sz w:val="24"/>
                <w:highlight w:val="white"/>
              </w:rPr>
            </w:r>
          </w:p>
        </w:tc>
      </w:tr>
      <w:tr>
        <w:tblPrEx/>
        <w:trPr/>
        <w:tc>
          <w:tcPr>
            <w:tcBorders>
              <w:left w:val="single" w:color="000000" w:sz="6" w:space="0"/>
              <w:bottom w:val="single" w:color="000000" w:sz="6" w:space="0"/>
            </w:tcBorders>
            <w:tcW w:w="319" w:type="dxa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tcW w:w="1351" w:type="dxa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1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850" w:leader="none"/>
              </w:tabs>
              <w:rPr>
                <w:sz w:val="24"/>
                <w:highlight w:val="white"/>
              </w:rPr>
            </w:pPr>
            <w:r>
              <w:rPr>
                <w:sz w:val="24"/>
                <w:highlight w:val="none"/>
              </w:rPr>
              <w:t xml:space="preserve">5</w:t>
            </w:r>
            <w:r>
              <w:rPr>
                <w:sz w:val="24"/>
                <w:highlight w:val="white"/>
              </w:rPr>
            </w:r>
            <w:r>
              <w:rPr>
                <w:sz w:val="24"/>
                <w:highlight w:val="white"/>
              </w:rPr>
            </w:r>
          </w:p>
        </w:tc>
      </w:tr>
    </w:tbl>
    <w:p>
      <w:pPr>
        <w:pStyle w:val="678"/>
        <w:ind w:left="142" w:right="0" w:firstLine="0"/>
        <w:tabs>
          <w:tab w:val="left" w:pos="1020" w:leader="none"/>
        </w:tabs>
        <w:rPr>
          <w:sz w:val="24"/>
          <w:szCs w:val="24"/>
        </w:rPr>
      </w:pPr>
      <w:r/>
      <w:bookmarkStart w:id="0" w:name="_GoBack"/>
      <w:r/>
      <w:bookmarkEnd w:id="0"/>
      <w:r/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6" w:hanging="290"/>
        <w:jc w:val="right"/>
      </w:pPr>
      <w:rPr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705" w:hanging="371"/>
        <w:jc w:val="right"/>
      </w:pPr>
      <w:rPr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3120" w:hanging="371"/>
      </w:pPr>
      <w:rPr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4320" w:hanging="371"/>
      </w:pPr>
      <w:rPr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5345" w:hanging="371"/>
      </w:pPr>
      <w:rPr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371" w:hanging="371"/>
      </w:pPr>
      <w:rPr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397" w:hanging="371"/>
      </w:pPr>
      <w:rPr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422" w:hanging="371"/>
      </w:pPr>
      <w:rPr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48" w:hanging="371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665"/>
    <w:link w:val="65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5"/>
    <w:link w:val="65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5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5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5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5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5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5"/>
    <w:link w:val="66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5"/>
    <w:link w:val="679"/>
    <w:uiPriority w:val="10"/>
    <w:rPr>
      <w:sz w:val="48"/>
      <w:szCs w:val="48"/>
    </w:rPr>
  </w:style>
  <w:style w:type="character" w:styleId="37">
    <w:name w:val="Subtitle Char"/>
    <w:basedOn w:val="665"/>
    <w:link w:val="681"/>
    <w:uiPriority w:val="11"/>
    <w:rPr>
      <w:sz w:val="24"/>
      <w:szCs w:val="24"/>
    </w:rPr>
  </w:style>
  <w:style w:type="character" w:styleId="39">
    <w:name w:val="Quote Char"/>
    <w:link w:val="683"/>
    <w:uiPriority w:val="29"/>
    <w:rPr>
      <w:i/>
    </w:rPr>
  </w:style>
  <w:style w:type="character" w:styleId="41">
    <w:name w:val="Intense Quote Char"/>
    <w:link w:val="685"/>
    <w:uiPriority w:val="30"/>
    <w:rPr>
      <w:i/>
    </w:rPr>
  </w:style>
  <w:style w:type="character" w:styleId="176">
    <w:name w:val="Footnote Text Char"/>
    <w:link w:val="820"/>
    <w:uiPriority w:val="99"/>
    <w:rPr>
      <w:sz w:val="18"/>
    </w:rPr>
  </w:style>
  <w:style w:type="character" w:styleId="179">
    <w:name w:val="Endnote Text Char"/>
    <w:link w:val="823"/>
    <w:uiPriority w:val="99"/>
    <w:rPr>
      <w:sz w:val="20"/>
    </w:rPr>
  </w:style>
  <w:style w:type="paragraph" w:styleId="655" w:default="1">
    <w:name w:val="Normal"/>
    <w:qFormat/>
    <w:pPr>
      <w:widowControl w:val="off"/>
    </w:pPr>
    <w:rPr>
      <w:lang w:eastAsia="ru-RU"/>
    </w:rPr>
  </w:style>
  <w:style w:type="paragraph" w:styleId="656">
    <w:name w:val="Heading 1"/>
    <w:basedOn w:val="655"/>
    <w:link w:val="844"/>
    <w:uiPriority w:val="1"/>
    <w:qFormat/>
    <w:pPr>
      <w:ind w:left="566"/>
      <w:outlineLvl w:val="0"/>
    </w:pPr>
    <w:rPr>
      <w:b/>
      <w:bCs/>
      <w:sz w:val="28"/>
      <w:szCs w:val="28"/>
      <w:lang w:eastAsia="en-US"/>
    </w:rPr>
  </w:style>
  <w:style w:type="paragraph" w:styleId="657">
    <w:name w:val="Heading 2"/>
    <w:basedOn w:val="655"/>
    <w:next w:val="655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55"/>
    <w:next w:val="655"/>
    <w:link w:val="67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55"/>
    <w:next w:val="655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55"/>
    <w:next w:val="655"/>
    <w:link w:val="6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55"/>
    <w:next w:val="655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655"/>
    <w:next w:val="655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655"/>
    <w:next w:val="655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655"/>
    <w:next w:val="655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character" w:styleId="668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69" w:customStyle="1">
    <w:name w:val="Заголовок 2 Знак"/>
    <w:link w:val="657"/>
    <w:uiPriority w:val="9"/>
    <w:rPr>
      <w:rFonts w:ascii="Arial" w:hAnsi="Arial" w:eastAsia="Arial" w:cs="Arial"/>
      <w:sz w:val="34"/>
    </w:rPr>
  </w:style>
  <w:style w:type="character" w:styleId="670" w:customStyle="1">
    <w:name w:val="Заголовок 3 Знак"/>
    <w:link w:val="658"/>
    <w:uiPriority w:val="9"/>
    <w:rPr>
      <w:rFonts w:ascii="Arial" w:hAnsi="Arial" w:eastAsia="Arial" w:cs="Arial"/>
      <w:sz w:val="30"/>
      <w:szCs w:val="30"/>
    </w:rPr>
  </w:style>
  <w:style w:type="character" w:styleId="671" w:customStyle="1">
    <w:name w:val="Заголовок 4 Знак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672" w:customStyle="1">
    <w:name w:val="Заголовок 5 Знак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Заголовок 6 Знак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674" w:customStyle="1">
    <w:name w:val="Заголовок 7 Знак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5" w:customStyle="1">
    <w:name w:val="Заголовок 8 Знак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6" w:customStyle="1">
    <w:name w:val="Заголовок 9 Знак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List Paragraph"/>
    <w:basedOn w:val="655"/>
    <w:uiPriority w:val="1"/>
    <w:qFormat/>
    <w:pPr>
      <w:contextualSpacing/>
      <w:ind w:left="720"/>
    </w:pPr>
  </w:style>
  <w:style w:type="paragraph" w:styleId="678">
    <w:name w:val="No Spacing"/>
    <w:uiPriority w:val="1"/>
    <w:qFormat/>
    <w:pPr>
      <w:widowControl w:val="off"/>
    </w:pPr>
    <w:rPr>
      <w:lang w:eastAsia="ru-RU"/>
    </w:rPr>
  </w:style>
  <w:style w:type="paragraph" w:styleId="679">
    <w:name w:val="Title"/>
    <w:basedOn w:val="655"/>
    <w:next w:val="655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 w:customStyle="1">
    <w:name w:val="Заголовок Знак"/>
    <w:link w:val="679"/>
    <w:uiPriority w:val="10"/>
    <w:rPr>
      <w:sz w:val="48"/>
      <w:szCs w:val="48"/>
    </w:rPr>
  </w:style>
  <w:style w:type="paragraph" w:styleId="681">
    <w:name w:val="Subtitle"/>
    <w:basedOn w:val="655"/>
    <w:next w:val="655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 w:customStyle="1">
    <w:name w:val="Подзаголовок Знак"/>
    <w:link w:val="681"/>
    <w:uiPriority w:val="11"/>
    <w:rPr>
      <w:sz w:val="24"/>
      <w:szCs w:val="24"/>
    </w:rPr>
  </w:style>
  <w:style w:type="paragraph" w:styleId="683">
    <w:name w:val="Quote"/>
    <w:basedOn w:val="655"/>
    <w:next w:val="655"/>
    <w:link w:val="684"/>
    <w:uiPriority w:val="29"/>
    <w:qFormat/>
    <w:pPr>
      <w:ind w:left="720" w:right="720"/>
    </w:pPr>
    <w:rPr>
      <w:i/>
    </w:rPr>
  </w:style>
  <w:style w:type="character" w:styleId="684" w:customStyle="1">
    <w:name w:val="Цитата 2 Знак"/>
    <w:link w:val="683"/>
    <w:uiPriority w:val="29"/>
    <w:rPr>
      <w:i/>
    </w:rPr>
  </w:style>
  <w:style w:type="paragraph" w:styleId="685">
    <w:name w:val="Intense Quote"/>
    <w:basedOn w:val="655"/>
    <w:next w:val="655"/>
    <w:link w:val="68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 w:customStyle="1">
    <w:name w:val="Выделенная цитата Знак"/>
    <w:link w:val="685"/>
    <w:uiPriority w:val="30"/>
    <w:rPr>
      <w:i/>
    </w:rPr>
  </w:style>
  <w:style w:type="paragraph" w:styleId="687">
    <w:name w:val="Header"/>
    <w:basedOn w:val="655"/>
    <w:link w:val="84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88" w:customStyle="1">
    <w:name w:val="Header Char"/>
    <w:uiPriority w:val="99"/>
  </w:style>
  <w:style w:type="paragraph" w:styleId="689">
    <w:name w:val="Footer"/>
    <w:basedOn w:val="655"/>
    <w:link w:val="83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90" w:customStyle="1">
    <w:name w:val="Footer Char"/>
    <w:uiPriority w:val="99"/>
  </w:style>
  <w:style w:type="paragraph" w:styleId="691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 w:customStyle="1">
    <w:name w:val="Caption Char"/>
    <w:uiPriority w:val="99"/>
  </w:style>
  <w:style w:type="table" w:styleId="693">
    <w:name w:val="Table Grid"/>
    <w:basedOn w:val="666"/>
    <w:tblPr/>
  </w:style>
  <w:style w:type="table" w:styleId="694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3"/>
    <w:link w:val="84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3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4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5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6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7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8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5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6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7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8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9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0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1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2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5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6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7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8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9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0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9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0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1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2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3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4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5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6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7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8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9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0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1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2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3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4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5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6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7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8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000ff"/>
      <w:u w:val="single"/>
    </w:rPr>
  </w:style>
  <w:style w:type="paragraph" w:styleId="820">
    <w:name w:val="footnote text"/>
    <w:basedOn w:val="655"/>
    <w:link w:val="821"/>
    <w:uiPriority w:val="99"/>
    <w:semiHidden/>
    <w:unhideWhenUsed/>
    <w:pPr>
      <w:spacing w:after="40"/>
    </w:pPr>
    <w:rPr>
      <w:sz w:val="18"/>
    </w:rPr>
  </w:style>
  <w:style w:type="character" w:styleId="821" w:customStyle="1">
    <w:name w:val="Текст сноски Знак"/>
    <w:link w:val="820"/>
    <w:uiPriority w:val="99"/>
    <w:rPr>
      <w:sz w:val="18"/>
    </w:rPr>
  </w:style>
  <w:style w:type="character" w:styleId="822">
    <w:name w:val="footnote reference"/>
    <w:uiPriority w:val="99"/>
    <w:unhideWhenUsed/>
    <w:rPr>
      <w:vertAlign w:val="superscript"/>
    </w:rPr>
  </w:style>
  <w:style w:type="paragraph" w:styleId="823">
    <w:name w:val="endnote text"/>
    <w:basedOn w:val="655"/>
    <w:link w:val="824"/>
    <w:uiPriority w:val="99"/>
    <w:semiHidden/>
    <w:unhideWhenUsed/>
  </w:style>
  <w:style w:type="character" w:styleId="824" w:customStyle="1">
    <w:name w:val="Текст концевой сноски Знак"/>
    <w:link w:val="823"/>
    <w:uiPriority w:val="99"/>
    <w:rPr>
      <w:sz w:val="20"/>
    </w:rPr>
  </w:style>
  <w:style w:type="character" w:styleId="825">
    <w:name w:val="endnote reference"/>
    <w:uiPriority w:val="99"/>
    <w:semiHidden/>
    <w:unhideWhenUsed/>
    <w:rPr>
      <w:vertAlign w:val="superscript"/>
    </w:rPr>
  </w:style>
  <w:style w:type="paragraph" w:styleId="826">
    <w:name w:val="toc 1"/>
    <w:basedOn w:val="655"/>
    <w:next w:val="655"/>
    <w:uiPriority w:val="39"/>
    <w:unhideWhenUsed/>
    <w:pPr>
      <w:spacing w:after="57"/>
    </w:pPr>
  </w:style>
  <w:style w:type="paragraph" w:styleId="827">
    <w:name w:val="toc 2"/>
    <w:basedOn w:val="655"/>
    <w:next w:val="655"/>
    <w:uiPriority w:val="39"/>
    <w:unhideWhenUsed/>
    <w:pPr>
      <w:ind w:left="283"/>
      <w:spacing w:after="57"/>
    </w:pPr>
  </w:style>
  <w:style w:type="paragraph" w:styleId="828">
    <w:name w:val="toc 3"/>
    <w:basedOn w:val="655"/>
    <w:next w:val="655"/>
    <w:uiPriority w:val="39"/>
    <w:unhideWhenUsed/>
    <w:pPr>
      <w:ind w:left="567"/>
      <w:spacing w:after="57"/>
    </w:pPr>
  </w:style>
  <w:style w:type="paragraph" w:styleId="829">
    <w:name w:val="toc 4"/>
    <w:basedOn w:val="655"/>
    <w:next w:val="655"/>
    <w:uiPriority w:val="39"/>
    <w:unhideWhenUsed/>
    <w:pPr>
      <w:ind w:left="850"/>
      <w:spacing w:after="57"/>
    </w:pPr>
  </w:style>
  <w:style w:type="paragraph" w:styleId="830">
    <w:name w:val="toc 5"/>
    <w:basedOn w:val="655"/>
    <w:next w:val="655"/>
    <w:uiPriority w:val="39"/>
    <w:unhideWhenUsed/>
    <w:pPr>
      <w:ind w:left="1134"/>
      <w:spacing w:after="57"/>
    </w:pPr>
  </w:style>
  <w:style w:type="paragraph" w:styleId="831">
    <w:name w:val="toc 6"/>
    <w:basedOn w:val="655"/>
    <w:next w:val="655"/>
    <w:uiPriority w:val="39"/>
    <w:unhideWhenUsed/>
    <w:pPr>
      <w:ind w:left="1417"/>
      <w:spacing w:after="57"/>
    </w:pPr>
  </w:style>
  <w:style w:type="paragraph" w:styleId="832">
    <w:name w:val="toc 7"/>
    <w:basedOn w:val="655"/>
    <w:next w:val="655"/>
    <w:uiPriority w:val="39"/>
    <w:unhideWhenUsed/>
    <w:pPr>
      <w:ind w:left="1701"/>
      <w:spacing w:after="57"/>
    </w:pPr>
  </w:style>
  <w:style w:type="paragraph" w:styleId="833">
    <w:name w:val="toc 8"/>
    <w:basedOn w:val="655"/>
    <w:next w:val="655"/>
    <w:uiPriority w:val="39"/>
    <w:unhideWhenUsed/>
    <w:pPr>
      <w:ind w:left="1984"/>
      <w:spacing w:after="57"/>
    </w:pPr>
  </w:style>
  <w:style w:type="paragraph" w:styleId="834">
    <w:name w:val="toc 9"/>
    <w:basedOn w:val="655"/>
    <w:next w:val="655"/>
    <w:uiPriority w:val="39"/>
    <w:unhideWhenUsed/>
    <w:pPr>
      <w:ind w:left="2268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655"/>
    <w:next w:val="655"/>
    <w:uiPriority w:val="99"/>
    <w:unhideWhenUsed/>
  </w:style>
  <w:style w:type="paragraph" w:styleId="837" w:customStyle="1">
    <w:name w:val="Название"/>
    <w:basedOn w:val="655"/>
    <w:link w:val="838"/>
    <w:qFormat/>
    <w:pPr>
      <w:ind w:left="-180"/>
      <w:jc w:val="center"/>
    </w:pPr>
    <w:rPr>
      <w:b/>
      <w:sz w:val="28"/>
      <w:szCs w:val="28"/>
      <w:lang w:eastAsia="en-US"/>
    </w:rPr>
  </w:style>
  <w:style w:type="character" w:styleId="838" w:customStyle="1">
    <w:name w:val="Название Знак"/>
    <w:link w:val="837"/>
    <w:rPr>
      <w:b/>
      <w:sz w:val="28"/>
      <w:szCs w:val="28"/>
    </w:rPr>
  </w:style>
  <w:style w:type="character" w:styleId="839" w:customStyle="1">
    <w:name w:val="Нижний колонтитул Знак"/>
    <w:basedOn w:val="665"/>
    <w:link w:val="689"/>
    <w:uiPriority w:val="99"/>
  </w:style>
  <w:style w:type="paragraph" w:styleId="840">
    <w:name w:val="Balloon Text"/>
    <w:basedOn w:val="655"/>
    <w:link w:val="841"/>
    <w:uiPriority w:val="99"/>
    <w:semiHidden/>
    <w:unhideWhenUsed/>
    <w:rPr>
      <w:rFonts w:ascii="Tahoma" w:hAnsi="Tahoma" w:cs="Tahoma"/>
      <w:sz w:val="16"/>
      <w:szCs w:val="16"/>
    </w:rPr>
  </w:style>
  <w:style w:type="character" w:styleId="841" w:customStyle="1">
    <w:name w:val="Текст выноски Знак"/>
    <w:link w:val="840"/>
    <w:uiPriority w:val="99"/>
    <w:semiHidden/>
    <w:rPr>
      <w:rFonts w:ascii="Tahoma" w:hAnsi="Tahoma" w:cs="Tahoma"/>
      <w:sz w:val="16"/>
      <w:szCs w:val="16"/>
    </w:rPr>
  </w:style>
  <w:style w:type="character" w:styleId="842" w:customStyle="1">
    <w:name w:val="Верхний колонтитул Знак"/>
    <w:basedOn w:val="665"/>
    <w:link w:val="687"/>
    <w:uiPriority w:val="99"/>
  </w:style>
  <w:style w:type="character" w:styleId="843">
    <w:name w:val="Strong"/>
    <w:uiPriority w:val="22"/>
    <w:qFormat/>
    <w:rPr>
      <w:b/>
      <w:bCs/>
    </w:rPr>
  </w:style>
  <w:style w:type="character" w:styleId="844" w:customStyle="1">
    <w:name w:val="Заголовок 1 Знак"/>
    <w:link w:val="656"/>
    <w:uiPriority w:val="1"/>
    <w:rPr>
      <w:b/>
      <w:bCs/>
      <w:sz w:val="28"/>
      <w:szCs w:val="28"/>
      <w:lang w:eastAsia="en-US"/>
    </w:rPr>
  </w:style>
  <w:style w:type="paragraph" w:styleId="845">
    <w:name w:val="Body Text"/>
    <w:basedOn w:val="655"/>
    <w:link w:val="846"/>
    <w:uiPriority w:val="1"/>
    <w:qFormat/>
    <w:rPr>
      <w:sz w:val="27"/>
      <w:szCs w:val="27"/>
      <w:lang w:eastAsia="en-US"/>
    </w:rPr>
  </w:style>
  <w:style w:type="character" w:styleId="846" w:customStyle="1">
    <w:name w:val="Основной текст Знак"/>
    <w:link w:val="845"/>
    <w:uiPriority w:val="1"/>
    <w:rPr>
      <w:sz w:val="27"/>
      <w:szCs w:val="27"/>
      <w:lang w:eastAsia="en-US"/>
    </w:rPr>
  </w:style>
  <w:style w:type="paragraph" w:styleId="847" w:customStyle="1">
    <w:name w:val="ConsPlusNormal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cs="Arial"/>
      <w:lang w:val="en-US"/>
    </w:rPr>
  </w:style>
  <w:style w:type="paragraph" w:styleId="848" w:customStyle="1">
    <w:name w:val="обычный текст"/>
    <w:link w:val="703"/>
    <w:qFormat/>
    <w:pPr>
      <w:ind w:firstLine="709"/>
      <w:jc w:val="both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Демкова Татьяна Владимировна</dc:creator>
  <cp:revision>3</cp:revision>
  <dcterms:created xsi:type="dcterms:W3CDTF">2025-07-02T03:06:00Z</dcterms:created>
  <dcterms:modified xsi:type="dcterms:W3CDTF">2025-07-02T03:28:53Z</dcterms:modified>
  <cp:version>1048576</cp:version>
</cp:coreProperties>
</file>